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A" w:rsidRDefault="00A07D95">
      <w:pPr>
        <w:spacing w:line="780" w:lineRule="exact"/>
        <w:jc w:val="center"/>
        <w:rPr>
          <w:b/>
          <w:bCs/>
          <w:color w:val="FF0000"/>
          <w:sz w:val="72"/>
          <w:szCs w:val="72"/>
        </w:rPr>
      </w:pPr>
      <w:r>
        <w:rPr>
          <w:rFonts w:hint="eastAsia"/>
          <w:b/>
          <w:bCs/>
          <w:color w:val="FF0000"/>
          <w:sz w:val="72"/>
          <w:szCs w:val="72"/>
        </w:rPr>
        <w:t>绍兴市柯桥区教师发展中心</w:t>
      </w:r>
    </w:p>
    <w:p w:rsidR="0057090A" w:rsidRDefault="0095365F">
      <w:pPr>
        <w:spacing w:line="320" w:lineRule="exact"/>
        <w:rPr>
          <w:rFonts w:eastAsia="黑体"/>
          <w:b/>
          <w:bCs/>
          <w:sz w:val="24"/>
        </w:rPr>
      </w:pPr>
      <w:r w:rsidRPr="0095365F">
        <w:pict>
          <v:line id="直接连接符 1" o:spid="_x0000_s1026" style="position:absolute;left:0;text-align:left;flip:y;z-index:251659264" from="0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" strokecolor="red" strokeweight="2.25pt"/>
        </w:pict>
      </w:r>
    </w:p>
    <w:p w:rsidR="0057090A" w:rsidRDefault="0057090A">
      <w:pPr>
        <w:snapToGrid w:val="0"/>
        <w:spacing w:line="520" w:lineRule="exact"/>
        <w:jc w:val="center"/>
        <w:rPr>
          <w:b/>
          <w:sz w:val="44"/>
          <w:szCs w:val="44"/>
        </w:rPr>
      </w:pPr>
    </w:p>
    <w:p w:rsidR="0057090A" w:rsidRDefault="00A07D95">
      <w:pPr>
        <w:snapToGrid w:val="0"/>
        <w:spacing w:line="520" w:lineRule="exact"/>
        <w:ind w:leftChars="-95" w:rightChars="-80" w:right="-168" w:hangingChars="45" w:hanging="199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关于开展</w:t>
      </w:r>
      <w:r>
        <w:rPr>
          <w:rFonts w:hint="eastAsia"/>
          <w:b/>
          <w:sz w:val="44"/>
          <w:szCs w:val="44"/>
        </w:rPr>
        <w:t>2017</w:t>
      </w:r>
      <w:r>
        <w:rPr>
          <w:rFonts w:hint="eastAsia"/>
          <w:b/>
          <w:sz w:val="44"/>
          <w:szCs w:val="44"/>
        </w:rPr>
        <w:t>年度学校教育技术装备</w:t>
      </w:r>
    </w:p>
    <w:p w:rsidR="0057090A" w:rsidRDefault="00A07D95">
      <w:pPr>
        <w:snapToGrid w:val="0"/>
        <w:spacing w:line="520" w:lineRule="exact"/>
        <w:ind w:leftChars="-95" w:rightChars="-80" w:right="-168" w:hangingChars="45" w:hanging="199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规范管理达标考核的通知</w:t>
      </w:r>
    </w:p>
    <w:p w:rsidR="0057090A" w:rsidRDefault="0057090A">
      <w:pPr>
        <w:snapToGrid w:val="0"/>
        <w:spacing w:line="360" w:lineRule="auto"/>
        <w:rPr>
          <w:sz w:val="28"/>
          <w:szCs w:val="28"/>
        </w:rPr>
      </w:pPr>
    </w:p>
    <w:p w:rsidR="0057090A" w:rsidRPr="00DC79F5" w:rsidRDefault="00A07D95">
      <w:pPr>
        <w:snapToGrid w:val="0"/>
        <w:spacing w:line="520" w:lineRule="exact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各高中、初中、小学：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为规范各校对教育技术装备的管理和使用，进一步提升教育技术装备的使用效果，经研究，决定于近期对各校进行2017年度教育技术装备规范管理达标考核，现将有关事项通知如下：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一、考核时间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12月</w:t>
      </w:r>
      <w:r w:rsidR="00F35172">
        <w:rPr>
          <w:rFonts w:ascii="仿宋_GB2312" w:eastAsia="仿宋_GB2312" w:hint="eastAsia"/>
          <w:sz w:val="30"/>
          <w:szCs w:val="30"/>
        </w:rPr>
        <w:t>6日——12月8日</w:t>
      </w:r>
      <w:r w:rsidRPr="00DC79F5">
        <w:rPr>
          <w:rFonts w:ascii="仿宋_GB2312" w:eastAsia="仿宋_GB2312" w:hint="eastAsia"/>
          <w:sz w:val="30"/>
          <w:szCs w:val="30"/>
        </w:rPr>
        <w:t>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二、考核范围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包括各普通教室、专用教室、创新实验室、学科教室、图书馆、阅览室、体育场馆、报告厅、网管中心等场所的装备管理和使用情况，重点考核实验室药品安全和电子白板、教学助手、移动终端的课堂应用情况。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三、考核人员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本次检查分六个小组，每组四人，由发展中心教育技术分中心的人员担任组长，其他三人从其他学校中选取（具体安排见附件1），请相关学校及时安排合适人员参加考核并将派出人员名单（附件4）于12月1日前通过OA邮箱上报给发展中心吴雁老师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四、考核流程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1.先自查：请各校对照考核细则（附件2）进行自查，并完成自评。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2.听汇报：由各校分管校长对自查评分情况，特别是特色亮点情况进行说明</w:t>
      </w:r>
      <w:r w:rsidR="00F35172">
        <w:rPr>
          <w:rFonts w:ascii="仿宋_GB2312" w:eastAsia="仿宋_GB2312" w:hint="eastAsia"/>
          <w:sz w:val="30"/>
          <w:szCs w:val="30"/>
        </w:rPr>
        <w:t>。汇报后将汇报材料和考核评分表交给检查组组长</w:t>
      </w:r>
      <w:r w:rsidRPr="00DC79F5">
        <w:rPr>
          <w:rFonts w:ascii="仿宋_GB2312" w:eastAsia="仿宋_GB2312" w:hint="eastAsia"/>
          <w:sz w:val="30"/>
          <w:szCs w:val="30"/>
        </w:rPr>
        <w:t>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lastRenderedPageBreak/>
        <w:t>3.查资料：请各校对照考核细则，认真准备支撑材料备查。检查时，请各校教育技术中心主任、教育技术应用教研组长、图书管理员、实验员、电教管理员、网管员等人员一起参加。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4.看现场：是本次检查的重点环节，检查小组组长在分管领导引领下检查</w:t>
      </w:r>
      <w:r w:rsidR="00F35172" w:rsidRPr="00DC79F5">
        <w:rPr>
          <w:rFonts w:ascii="仿宋_GB2312" w:eastAsia="仿宋_GB2312" w:hint="eastAsia"/>
          <w:sz w:val="30"/>
          <w:szCs w:val="30"/>
        </w:rPr>
        <w:t>实验室药品安全</w:t>
      </w:r>
      <w:r w:rsidR="00F35172">
        <w:rPr>
          <w:rFonts w:ascii="仿宋_GB2312" w:eastAsia="仿宋_GB2312" w:hint="eastAsia"/>
          <w:sz w:val="30"/>
          <w:szCs w:val="30"/>
        </w:rPr>
        <w:t>和</w:t>
      </w:r>
      <w:r w:rsidRPr="00DC79F5">
        <w:rPr>
          <w:rFonts w:ascii="仿宋_GB2312" w:eastAsia="仿宋_GB2312" w:hint="eastAsia"/>
          <w:sz w:val="30"/>
          <w:szCs w:val="30"/>
        </w:rPr>
        <w:t>各教室装备及电子白板、教学助手课堂应用情况</w:t>
      </w:r>
      <w:r w:rsidR="00F35172">
        <w:rPr>
          <w:rFonts w:ascii="仿宋_GB2312" w:eastAsia="仿宋_GB2312" w:hint="eastAsia"/>
          <w:sz w:val="30"/>
          <w:szCs w:val="30"/>
        </w:rPr>
        <w:t>，</w:t>
      </w:r>
      <w:r w:rsidRPr="00DC79F5">
        <w:rPr>
          <w:rFonts w:ascii="仿宋_GB2312" w:eastAsia="仿宋_GB2312" w:hint="eastAsia"/>
          <w:sz w:val="30"/>
          <w:szCs w:val="30"/>
        </w:rPr>
        <w:t>检查小组其他人员在教技中心主任引领下仔细检查其他各室，请各室责任人提前开好门，准备好资料，并在场陪同检查。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5.听反馈：由检查小组组长负责向学校反馈检查情况，重点指出不足之处，并提出整改意见。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五、考核结果及使用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1.本次考核结果分为达标和不达标两类，在达标学校中将根据得分情况评选</w:t>
      </w:r>
      <w:r w:rsidR="00F35172">
        <w:rPr>
          <w:rFonts w:ascii="仿宋_GB2312" w:eastAsia="仿宋_GB2312" w:hint="eastAsia"/>
          <w:sz w:val="30"/>
          <w:szCs w:val="30"/>
        </w:rPr>
        <w:t>20</w:t>
      </w:r>
      <w:r w:rsidRPr="00DC79F5">
        <w:rPr>
          <w:rFonts w:ascii="仿宋_GB2312" w:eastAsia="仿宋_GB2312" w:hint="eastAsia"/>
          <w:sz w:val="30"/>
          <w:szCs w:val="30"/>
        </w:rPr>
        <w:t>所学校为2017年度教育技术装备规范管理示范学校。只有达标学校才能参评2017年教育信息化先进学校，本次考核得分在先进学校评比中占40%。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六、示范功能室申报、考核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1.申报：请各学校自愿推荐一个建设规范、特色鲜明、常态应用、成效显著的功能教室（历年已评为示范功能室的不再参评）参加考核，并填写好示范功能教室考核表(见附件3)。考核时递交相关表格及材料给考核组。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2.考核：考核组现场踏勘及资料查阅等。</w:t>
      </w:r>
    </w:p>
    <w:p w:rsidR="0057090A" w:rsidRPr="00DC79F5" w:rsidRDefault="0057090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请各校领导高度重视此项工作，落实人员，积极做好各项迎检准备。</w:t>
      </w:r>
    </w:p>
    <w:p w:rsidR="0057090A" w:rsidRPr="00DC79F5" w:rsidRDefault="0057090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附件1：2017年度教育技术装备规范管理达标考核检查分工表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附件2：柯桥区教育技术装备规范管理达标考核评分表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lastRenderedPageBreak/>
        <w:t>附件3：柯桥区中小学示范功能教室考核表</w:t>
      </w: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>附件4：学校派出检查人员信息表</w:t>
      </w:r>
    </w:p>
    <w:p w:rsidR="0057090A" w:rsidRPr="00DC79F5" w:rsidRDefault="0057090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7090A" w:rsidRPr="00DC79F5" w:rsidRDefault="0057090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7090A" w:rsidRPr="00DC79F5" w:rsidRDefault="0057090A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57090A" w:rsidRPr="00DC79F5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 xml:space="preserve">                                绍兴市柯桥区教师发展中心</w:t>
      </w:r>
    </w:p>
    <w:p w:rsidR="0057090A" w:rsidRDefault="00A07D95">
      <w:pPr>
        <w:spacing w:line="52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DC79F5">
        <w:rPr>
          <w:rFonts w:ascii="仿宋_GB2312" w:eastAsia="仿宋_GB2312" w:hint="eastAsia"/>
          <w:sz w:val="30"/>
          <w:szCs w:val="30"/>
        </w:rPr>
        <w:t xml:space="preserve">                                    2017年11</w:t>
      </w:r>
      <w:r>
        <w:rPr>
          <w:rFonts w:ascii="仿宋_GB2312" w:eastAsia="仿宋_GB2312" w:hint="eastAsia"/>
          <w:sz w:val="30"/>
          <w:szCs w:val="30"/>
        </w:rPr>
        <w:t>月11日</w:t>
      </w:r>
    </w:p>
    <w:p w:rsidR="0057090A" w:rsidRDefault="0057090A">
      <w:pPr>
        <w:spacing w:line="520" w:lineRule="exact"/>
        <w:rPr>
          <w:b/>
          <w:bCs/>
          <w:sz w:val="32"/>
          <w:szCs w:val="32"/>
        </w:rPr>
        <w:sectPr w:rsidR="0057090A">
          <w:footerReference w:type="default" r:id="rId7"/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57090A" w:rsidRDefault="00A07D95" w:rsidP="00F35172">
      <w:pPr>
        <w:spacing w:beforeLines="100" w:afterLines="100"/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附件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/>
          <w:b/>
          <w:bCs/>
          <w:sz w:val="32"/>
          <w:szCs w:val="32"/>
        </w:rPr>
        <w:t xml:space="preserve">            2017</w:t>
      </w:r>
      <w:r>
        <w:rPr>
          <w:rFonts w:hint="eastAsia"/>
          <w:b/>
          <w:bCs/>
          <w:sz w:val="32"/>
          <w:szCs w:val="32"/>
        </w:rPr>
        <w:t>年度教育技术装备规范管理达标考核检查分工表</w:t>
      </w:r>
    </w:p>
    <w:tbl>
      <w:tblPr>
        <w:tblW w:w="123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1151"/>
        <w:gridCol w:w="7129"/>
        <w:gridCol w:w="3576"/>
      </w:tblGrid>
      <w:tr w:rsidR="0057090A">
        <w:trPr>
          <w:trHeight w:val="468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组别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组长</w:t>
            </w:r>
          </w:p>
        </w:tc>
        <w:tc>
          <w:tcPr>
            <w:tcW w:w="7129" w:type="dxa"/>
            <w:vAlign w:val="center"/>
          </w:tcPr>
          <w:p w:rsidR="0057090A" w:rsidRDefault="00A07D9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检查学校</w:t>
            </w:r>
          </w:p>
        </w:tc>
        <w:tc>
          <w:tcPr>
            <w:tcW w:w="3576" w:type="dxa"/>
          </w:tcPr>
          <w:p w:rsidR="0057090A" w:rsidRDefault="00A07D9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学校派出检查人员</w:t>
            </w:r>
          </w:p>
        </w:tc>
      </w:tr>
      <w:tr w:rsidR="0057090A">
        <w:trPr>
          <w:trHeight w:val="805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第一组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范信子</w:t>
            </w:r>
          </w:p>
        </w:tc>
        <w:tc>
          <w:tcPr>
            <w:tcW w:w="7129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柯桥中学、鲁迅中学、鲁迅外国语学校、柯桥小学、实验小学、鉴湖小学、轻纺城小学、轻纺城第二小学</w:t>
            </w:r>
          </w:p>
        </w:tc>
        <w:tc>
          <w:tcPr>
            <w:tcW w:w="3576" w:type="dxa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湖塘小学、实验中学、柯岩小学各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57090A">
        <w:trPr>
          <w:trHeight w:val="549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第二组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周学东</w:t>
            </w:r>
          </w:p>
        </w:tc>
        <w:tc>
          <w:tcPr>
            <w:tcW w:w="7129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鉴湖中学、湖塘中学、湖塘小学、西藏民族中学、柯岩中学、柯岩小学、实验中学</w:t>
            </w:r>
          </w:p>
        </w:tc>
        <w:tc>
          <w:tcPr>
            <w:tcW w:w="3576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轻二小、实验小学、齐贤小学各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57090A">
        <w:trPr>
          <w:trHeight w:val="747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第三组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徐永进</w:t>
            </w:r>
          </w:p>
        </w:tc>
        <w:tc>
          <w:tcPr>
            <w:tcW w:w="7129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鲁迅高级中学、豫才中学、秋瑾中学、秋瑾小学、兰亭镇中、兰亭镇小、漓渚镇中、漓渚镇小</w:t>
            </w:r>
          </w:p>
        </w:tc>
        <w:tc>
          <w:tcPr>
            <w:tcW w:w="3576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王坛镇中、稽东镇小、平水镇小各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57090A">
        <w:trPr>
          <w:trHeight w:val="789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第四组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宋剑波</w:t>
            </w:r>
          </w:p>
        </w:tc>
        <w:tc>
          <w:tcPr>
            <w:tcW w:w="7129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华舍中学、华舍小学、安昌镇中、安昌镇小、齐贤镇中、齐贤镇小、马鞍镇中、马鞍镇小</w:t>
            </w:r>
          </w:p>
        </w:tc>
        <w:tc>
          <w:tcPr>
            <w:tcW w:w="3576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钱清镇中、夏履镇中、杨汛小学各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57090A">
        <w:trPr>
          <w:trHeight w:val="703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第五组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雁</w:t>
            </w:r>
          </w:p>
        </w:tc>
        <w:tc>
          <w:tcPr>
            <w:tcW w:w="7129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钱清中学、钱清镇中、钱清小学、杨汛桥镇中、杨汛桥镇小、夏履镇中、夏履镇小</w:t>
            </w:r>
          </w:p>
        </w:tc>
        <w:tc>
          <w:tcPr>
            <w:tcW w:w="3576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华舍中学、安昌小学、马鞍镇中各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</w:tr>
      <w:tr w:rsidR="0057090A">
        <w:trPr>
          <w:trHeight w:val="703"/>
          <w:jc w:val="center"/>
        </w:trPr>
        <w:tc>
          <w:tcPr>
            <w:tcW w:w="457" w:type="dxa"/>
            <w:vAlign w:val="center"/>
          </w:tcPr>
          <w:p w:rsidR="0057090A" w:rsidRDefault="00A07D95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第六组</w:t>
            </w:r>
          </w:p>
        </w:tc>
        <w:tc>
          <w:tcPr>
            <w:tcW w:w="1151" w:type="dxa"/>
            <w:vAlign w:val="center"/>
          </w:tcPr>
          <w:p w:rsidR="0057090A" w:rsidRDefault="00A07D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楼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宽</w:t>
            </w:r>
          </w:p>
        </w:tc>
        <w:tc>
          <w:tcPr>
            <w:tcW w:w="7129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越崎中学、平水镇中、平水镇小、王坛镇中、王坛镇小、稽东镇中、稽东镇小</w:t>
            </w:r>
          </w:p>
        </w:tc>
        <w:tc>
          <w:tcPr>
            <w:tcW w:w="3576" w:type="dxa"/>
          </w:tcPr>
          <w:p w:rsidR="0057090A" w:rsidRDefault="00A07D95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兰亭镇中、漓渚镇小、秋瑾小学各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人</w:t>
            </w:r>
          </w:p>
        </w:tc>
      </w:tr>
    </w:tbl>
    <w:p w:rsidR="0057090A" w:rsidRDefault="0057090A">
      <w:pPr>
        <w:widowControl/>
        <w:spacing w:line="480" w:lineRule="auto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</w:p>
    <w:p w:rsidR="0057090A" w:rsidRDefault="0057090A">
      <w:pPr>
        <w:widowControl/>
        <w:spacing w:line="480" w:lineRule="auto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</w:p>
    <w:p w:rsidR="0057090A" w:rsidRDefault="00A07D95">
      <w:pPr>
        <w:widowControl/>
        <w:spacing w:line="480" w:lineRule="auto"/>
        <w:jc w:val="left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lastRenderedPageBreak/>
        <w:t>附件2：                        柯桥区教育技术装备规范管理达标考核评分表</w:t>
      </w:r>
    </w:p>
    <w:tbl>
      <w:tblPr>
        <w:tblW w:w="137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8"/>
        <w:gridCol w:w="939"/>
        <w:gridCol w:w="8689"/>
        <w:gridCol w:w="851"/>
        <w:gridCol w:w="992"/>
        <w:gridCol w:w="851"/>
        <w:gridCol w:w="851"/>
      </w:tblGrid>
      <w:tr w:rsidR="003369EC" w:rsidTr="003369EC">
        <w:trPr>
          <w:trHeight w:val="6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内容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pacing w:val="24"/>
                <w:sz w:val="18"/>
                <w:szCs w:val="18"/>
              </w:rPr>
              <w:t>考核细则及评分标准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 w:rsidP="00F35172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权重分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自评分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考核分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 w:rsidP="003369EC">
            <w:pPr>
              <w:jc w:val="center"/>
              <w:rPr>
                <w:rFonts w:ascii="宋体" w:hAnsi="宋体" w:hint="eastAsia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3369EC" w:rsidTr="003369EC">
        <w:trPr>
          <w:trHeight w:val="4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 w:rsidP="00F35172">
            <w:pPr>
              <w:spacing w:beforeLines="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管理网络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．成立领导小组，由分管领导、教育技术中心主任、教务主任、总务主任和专用教室管理教师等组成。2．各成员职责明确，并能履行职责。3．分管领导每学期召开领导小组会议（或检查）不少于2次，并在工作记录册记载。每项各2分，每发现一处不符合要求扣1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44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文化建设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1．室牌、责任牌、规章制度、操作规程、标语、警示标志和图书分类标识等齐全。此项6分，每发现一处不符合要求扣1分。2．环境布置符合该室特点，文化氛围浓厚。此项4分，每发现一处不符合要求扣1分。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59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环境建设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1．仪器设备和图书摆放整齐、橱柜色调一致。2．橱柜数量满足全部仪器、器材和图书按规定存放，不能入橱的要求有防尘处理。3.</w:t>
            </w:r>
            <w:r>
              <w:rPr>
                <w:rFonts w:ascii="宋体" w:hAnsi="宋体" w:hint="eastAsia"/>
                <w:sz w:val="18"/>
                <w:szCs w:val="18"/>
              </w:rPr>
              <w:t>仪器橱按要求张贴橱柜标签，账、物、标签相符。上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架图书标签必须打印，且对齐粘贴，并贴上保护膜。4．墙壁洁净、窗户明亮，装有窗帘。室内仪器设备和图书无明显积尘。每项各4分，每发现一处不符合要求扣1分。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92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安全措施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1.危险化学药品室必须安装防盗门窗，中学的药品室应安装视频监控、报警设备。2.危险化学药品必须存放在毒害品柜内，并落实专人管理，建立使用台账；剧毒药品实施五双管理</w:t>
            </w:r>
            <w:r w:rsidR="003445CE">
              <w:rPr>
                <w:rFonts w:ascii="宋体" w:hAnsi="宋体" w:hint="eastAsia"/>
                <w:color w:val="000000"/>
                <w:sz w:val="18"/>
                <w:szCs w:val="18"/>
              </w:rPr>
              <w:t>（</w:t>
            </w:r>
            <w:r w:rsidR="003445CE" w:rsidRPr="003445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五双</w:t>
            </w:r>
            <w:r w:rsidR="003445CE" w:rsidRPr="003445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”</w:t>
            </w:r>
            <w:r w:rsidR="003445CE" w:rsidRPr="003445CE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制度是指双人保管，双把锁（匙），双本帐，双人发货，双人领用</w:t>
            </w:r>
            <w:r w:rsidR="003445CE">
              <w:rPr>
                <w:rFonts w:ascii="宋体" w:hAnsi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。3.学校需制订各类危险化学品事故的应急预案，化学药品室的各项管理制度、预案制度必须上墙。4.化学药品瓶上标签需贴保护膜，确保标签清晰可见。5.化学药品管理要按要求建好台账。6.化学实验室、仪器室和药品室必须配备灭火器和沙箱，实验室配备防护急救用品。每项各2分，每发现一处不符合要求扣2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6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账册管理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1．装备财产进出归总务管理，责任明</w:t>
            </w:r>
            <w:r>
              <w:rPr>
                <w:rFonts w:ascii="宋体" w:hAnsi="宋体" w:hint="eastAsia"/>
                <w:sz w:val="18"/>
                <w:szCs w:val="18"/>
              </w:rPr>
              <w:t>确，本项1分。2．装备资金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总账、财产总账、分类账、低值易耗品账、图书登记账等台账账册齐全，账面整洁，建账规范；有相关资产凭证（如发票复印件、入账单等）档案。本项7分。3．总务每学年进行装备财产清查，有财产清查材料，做到账账相符、账物相符，本项2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67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装备应用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装备使用归教技中心或教务处管理。1.期初有</w:t>
            </w:r>
            <w:r>
              <w:rPr>
                <w:rFonts w:ascii="宋体" w:hAnsi="宋体" w:hint="eastAsia"/>
                <w:sz w:val="18"/>
                <w:szCs w:val="18"/>
              </w:rPr>
              <w:t>实验开出计划，期末有使用统计。本项1分。2．演示实验和学生实验开出率高。本项3分。3．专用教室使用有登记，使用率有统计。本项2分。4．每学年书刊生均借阅册数小学不低于10册，初中不低于6册，高中不低于4册。本项2分。5</w:t>
            </w:r>
            <w:r>
              <w:rPr>
                <w:rFonts w:ascii="宋体" w:hAnsi="宋体"/>
                <w:sz w:val="18"/>
                <w:szCs w:val="18"/>
              </w:rPr>
              <w:t xml:space="preserve">. </w:t>
            </w:r>
            <w:r>
              <w:rPr>
                <w:rFonts w:ascii="宋体" w:hAnsi="宋体" w:hint="eastAsia"/>
                <w:sz w:val="18"/>
                <w:szCs w:val="18"/>
              </w:rPr>
              <w:t>电子白板、智慧教室、移动终端、教学助手、家校帮等软硬件设施使用率高，学校经常开展各类应用培训。本项12分。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64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资源使用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1．接通省教育计算机网千兆宽带，校园网百兆通达所有教室和教师办公室，本项5分。</w:t>
            </w:r>
          </w:p>
          <w:p w:rsidR="003369EC" w:rsidRDefault="003369EC">
            <w:pPr>
              <w:jc w:val="left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宋体" w:hAnsi="宋体" w:hint="eastAsia"/>
                <w:kern w:val="0"/>
                <w:sz w:val="18"/>
                <w:szCs w:val="18"/>
              </w:rPr>
              <w:t>2. 资源云平台教师空间活跃空间比率高，本项7分。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92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 w:rsidP="00F35172">
            <w:pPr>
              <w:spacing w:beforeLines="5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资料档案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1．各室教学仪器、设备说明书分类装订存放。本项2分。2．执行实验预约准备制度，实验通知单每学期装订成册，封面有实验开出率统计数字。本项2分。3．专用教室有使用情况记录册和仪器设备管理记录册（有借用、维修保养、损坏赔偿、报损报废记录）。本项2分。4．装备报表保存不少于三年。本项2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  <w:tr w:rsidR="003369EC" w:rsidTr="003369EC">
        <w:trPr>
          <w:trHeight w:val="6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特色亮点</w:t>
            </w:r>
          </w:p>
        </w:tc>
        <w:tc>
          <w:tcPr>
            <w:tcW w:w="8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按照学校实际，积极探索，勇于创新，形成特色或亮点，并产生了一定的影响。考核时要求提供文字说明和照片、荣誉证书等辅证材料。此项6分，酌情赋分。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9EC" w:rsidRDefault="003369EC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EC" w:rsidRDefault="003369EC">
            <w:pPr>
              <w:jc w:val="center"/>
              <w:rPr>
                <w:rFonts w:ascii="宋体" w:hAnsi="宋体"/>
                <w:b/>
                <w:color w:val="000000"/>
                <w:sz w:val="18"/>
                <w:szCs w:val="18"/>
              </w:rPr>
            </w:pPr>
          </w:p>
        </w:tc>
      </w:tr>
    </w:tbl>
    <w:p w:rsidR="0057090A" w:rsidRDefault="0057090A">
      <w:pPr>
        <w:widowControl/>
        <w:spacing w:line="480" w:lineRule="auto"/>
        <w:jc w:val="left"/>
        <w:rPr>
          <w:rFonts w:ascii="宋体" w:hAnsi="宋体" w:cs="宋体"/>
          <w:b/>
          <w:bCs/>
          <w:color w:val="FF0000"/>
          <w:kern w:val="0"/>
          <w:sz w:val="27"/>
        </w:rPr>
      </w:pPr>
    </w:p>
    <w:p w:rsidR="0057090A" w:rsidRDefault="0057090A">
      <w:pPr>
        <w:jc w:val="center"/>
        <w:rPr>
          <w:rFonts w:ascii="仿宋_GB2312" w:eastAsia="仿宋_GB2312" w:hAnsi="仿宋_GB2312" w:cs="仿宋_GB2312"/>
          <w:kern w:val="0"/>
          <w:sz w:val="24"/>
        </w:rPr>
      </w:pPr>
    </w:p>
    <w:p w:rsidR="0057090A" w:rsidRDefault="0057090A" w:rsidP="00DC79F5">
      <w:pPr>
        <w:ind w:leftChars="-95" w:left="-25" w:hangingChars="83" w:hanging="174"/>
        <w:jc w:val="left"/>
      </w:pPr>
    </w:p>
    <w:p w:rsidR="0057090A" w:rsidRDefault="0057090A">
      <w:pPr>
        <w:spacing w:line="520" w:lineRule="exact"/>
        <w:ind w:rightChars="-153" w:right="-321"/>
        <w:jc w:val="left"/>
        <w:rPr>
          <w:rFonts w:ascii="仿宋_GB2312" w:eastAsia="仿宋_GB2312"/>
          <w:sz w:val="30"/>
          <w:szCs w:val="30"/>
        </w:rPr>
        <w:sectPr w:rsidR="0057090A">
          <w:pgSz w:w="16838" w:h="11906" w:orient="landscape"/>
          <w:pgMar w:top="1417" w:right="1440" w:bottom="1417" w:left="1440" w:header="851" w:footer="992" w:gutter="0"/>
          <w:cols w:space="0"/>
          <w:docGrid w:type="lines" w:linePitch="312"/>
        </w:sectPr>
      </w:pPr>
    </w:p>
    <w:p w:rsidR="0057090A" w:rsidRDefault="00A07D95">
      <w:pPr>
        <w:jc w:val="left"/>
        <w:rPr>
          <w:rFonts w:ascii="仿宋_GB2312" w:eastAsia="仿宋_GB2312" w:hAnsi="仿宋" w:cs="Arial"/>
          <w:b/>
          <w:bCs/>
          <w:kern w:val="0"/>
          <w:sz w:val="32"/>
          <w:szCs w:val="32"/>
        </w:rPr>
      </w:pPr>
      <w:r>
        <w:rPr>
          <w:rFonts w:ascii="仿宋_GB2312" w:eastAsia="仿宋_GB2312" w:hAnsi="仿宋" w:cs="Arial" w:hint="eastAsia"/>
          <w:b/>
          <w:bCs/>
          <w:kern w:val="0"/>
          <w:sz w:val="32"/>
          <w:szCs w:val="32"/>
        </w:rPr>
        <w:lastRenderedPageBreak/>
        <w:t>附件3：    柯桥区中小学示范功能教室考核表</w:t>
      </w:r>
    </w:p>
    <w:p w:rsidR="0057090A" w:rsidRDefault="00A07D95">
      <w:pPr>
        <w:widowControl/>
        <w:jc w:val="center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tbl>
      <w:tblPr>
        <w:tblW w:w="8445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53"/>
        <w:gridCol w:w="2122"/>
        <w:gridCol w:w="1455"/>
        <w:gridCol w:w="1486"/>
        <w:gridCol w:w="1020"/>
        <w:gridCol w:w="1109"/>
      </w:tblGrid>
      <w:tr w:rsidR="0057090A">
        <w:trPr>
          <w:trHeight w:val="595"/>
          <w:jc w:val="center"/>
        </w:trPr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学校</w:t>
            </w:r>
          </w:p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（盖章）</w:t>
            </w:r>
          </w:p>
        </w:tc>
        <w:tc>
          <w:tcPr>
            <w:tcW w:w="21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90A" w:rsidRDefault="005709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7090A" w:rsidRDefault="005709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分管校长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5709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功能室名称</w:t>
            </w:r>
          </w:p>
        </w:tc>
        <w:tc>
          <w:tcPr>
            <w:tcW w:w="11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57090A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7090A">
        <w:trPr>
          <w:trHeight w:val="480"/>
          <w:jc w:val="center"/>
        </w:trPr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7090A" w:rsidRDefault="0057090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7090A" w:rsidRDefault="0057090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57090A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0A" w:rsidRDefault="0057090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0A" w:rsidRDefault="0057090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7090A">
        <w:trPr>
          <w:cantSplit/>
          <w:trHeight w:val="870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考核</w:t>
            </w:r>
          </w:p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项目</w:t>
            </w:r>
          </w:p>
        </w:tc>
        <w:tc>
          <w:tcPr>
            <w:tcW w:w="50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A" w:rsidRDefault="00F35172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自查</w:t>
            </w:r>
            <w:r w:rsidR="00A07D95">
              <w:rPr>
                <w:rFonts w:ascii="仿宋_GB2312" w:eastAsia="仿宋_GB2312" w:hint="eastAsia"/>
                <w:kern w:val="0"/>
                <w:sz w:val="28"/>
                <w:szCs w:val="28"/>
              </w:rPr>
              <w:t>情况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考核结论</w:t>
            </w:r>
          </w:p>
        </w:tc>
      </w:tr>
      <w:tr w:rsidR="0057090A">
        <w:trPr>
          <w:cantSplit/>
          <w:trHeight w:val="2489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制度</w:t>
            </w:r>
          </w:p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责任</w:t>
            </w:r>
          </w:p>
        </w:tc>
        <w:tc>
          <w:tcPr>
            <w:tcW w:w="50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0A" w:rsidRDefault="0057090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7090A" w:rsidRDefault="0057090A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90A" w:rsidRDefault="0057090A"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7090A" w:rsidRDefault="0057090A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7090A">
        <w:trPr>
          <w:cantSplit/>
          <w:trHeight w:val="2756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规范</w:t>
            </w:r>
          </w:p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应用</w:t>
            </w:r>
          </w:p>
        </w:tc>
        <w:tc>
          <w:tcPr>
            <w:tcW w:w="50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090A" w:rsidRDefault="00A07D95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</w:t>
            </w:r>
          </w:p>
          <w:p w:rsidR="0057090A" w:rsidRDefault="00A07D95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</w:t>
            </w:r>
          </w:p>
          <w:p w:rsidR="0057090A" w:rsidRDefault="00A07D95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     （可以另附页、附图）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90A" w:rsidRDefault="0057090A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7090A">
        <w:trPr>
          <w:cantSplit/>
          <w:trHeight w:val="1954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成果</w:t>
            </w:r>
          </w:p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与</w:t>
            </w:r>
          </w:p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亮点</w:t>
            </w:r>
          </w:p>
        </w:tc>
        <w:tc>
          <w:tcPr>
            <w:tcW w:w="506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090A" w:rsidRDefault="00A07D95">
            <w:pPr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     （可以另附页、附图）</w:t>
            </w:r>
          </w:p>
        </w:tc>
        <w:tc>
          <w:tcPr>
            <w:tcW w:w="21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7090A" w:rsidRDefault="0057090A">
            <w:pPr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57090A">
        <w:trPr>
          <w:trHeight w:val="1994"/>
          <w:jc w:val="center"/>
        </w:trPr>
        <w:tc>
          <w:tcPr>
            <w:tcW w:w="1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090A" w:rsidRDefault="00A07D95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考核组意见     </w:t>
            </w:r>
          </w:p>
          <w:p w:rsidR="0057090A" w:rsidRDefault="0057090A">
            <w:pPr>
              <w:widowControl/>
              <w:snapToGrid w:val="0"/>
              <w:ind w:firstLine="126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719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090A" w:rsidRDefault="0057090A">
            <w:pPr>
              <w:widowControl/>
              <w:snapToGrid w:val="0"/>
              <w:ind w:firstLineChars="1350" w:firstLine="378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7090A" w:rsidRDefault="0057090A">
            <w:pPr>
              <w:widowControl/>
              <w:snapToGrid w:val="0"/>
              <w:ind w:firstLineChars="1350" w:firstLine="378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 w:rsidR="0057090A" w:rsidRDefault="00A07D95">
            <w:pPr>
              <w:widowControl/>
              <w:snapToGrid w:val="0"/>
              <w:ind w:firstLineChars="1350" w:firstLine="378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签名：</w:t>
            </w:r>
          </w:p>
          <w:p w:rsidR="0057090A" w:rsidRDefault="00A07D95">
            <w:pPr>
              <w:widowControl/>
              <w:snapToGrid w:val="0"/>
              <w:ind w:firstLineChars="1650" w:firstLine="4620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年  月   日</w:t>
            </w:r>
          </w:p>
        </w:tc>
      </w:tr>
    </w:tbl>
    <w:p w:rsidR="0057090A" w:rsidRDefault="0057090A">
      <w:pPr>
        <w:spacing w:line="520" w:lineRule="exact"/>
        <w:rPr>
          <w:rFonts w:ascii="仿宋_GB2312" w:eastAsia="仿宋_GB2312" w:hAnsi="仿宋_GB2312" w:cs="仿宋_GB2312"/>
          <w:b/>
          <w:bCs/>
          <w:sz w:val="24"/>
        </w:rPr>
      </w:pPr>
    </w:p>
    <w:p w:rsidR="0057090A" w:rsidRDefault="0057090A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7090A" w:rsidRDefault="0057090A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57090A" w:rsidRDefault="00A07D95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附件4：</w:t>
      </w:r>
    </w:p>
    <w:p w:rsidR="0057090A" w:rsidRDefault="00A07D95">
      <w:pPr>
        <w:spacing w:line="520" w:lineRule="exact"/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学校派出</w:t>
      </w: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检查人员信息表</w:t>
      </w:r>
    </w:p>
    <w:tbl>
      <w:tblPr>
        <w:tblStyle w:val="a5"/>
        <w:tblW w:w="8522" w:type="dxa"/>
        <w:tblLayout w:type="fixed"/>
        <w:tblLook w:val="04A0"/>
      </w:tblPr>
      <w:tblGrid>
        <w:gridCol w:w="3369"/>
        <w:gridCol w:w="1701"/>
        <w:gridCol w:w="3452"/>
      </w:tblGrid>
      <w:tr w:rsidR="0057090A">
        <w:tc>
          <w:tcPr>
            <w:tcW w:w="3369" w:type="dxa"/>
          </w:tcPr>
          <w:p w:rsidR="0057090A" w:rsidRDefault="00A07D95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学校</w:t>
            </w:r>
          </w:p>
        </w:tc>
        <w:tc>
          <w:tcPr>
            <w:tcW w:w="1701" w:type="dxa"/>
          </w:tcPr>
          <w:p w:rsidR="0057090A" w:rsidRDefault="00A07D95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3452" w:type="dxa"/>
          </w:tcPr>
          <w:p w:rsidR="0057090A" w:rsidRDefault="00A07D95"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联系电话（虚拟短号）</w:t>
            </w:r>
          </w:p>
        </w:tc>
      </w:tr>
      <w:tr w:rsidR="0057090A">
        <w:tc>
          <w:tcPr>
            <w:tcW w:w="3369" w:type="dxa"/>
          </w:tcPr>
          <w:p w:rsidR="0057090A" w:rsidRDefault="0057090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01" w:type="dxa"/>
          </w:tcPr>
          <w:p w:rsidR="0057090A" w:rsidRDefault="0057090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452" w:type="dxa"/>
          </w:tcPr>
          <w:p w:rsidR="0057090A" w:rsidRDefault="0057090A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7090A" w:rsidRDefault="0057090A">
      <w:pPr>
        <w:spacing w:line="520" w:lineRule="exact"/>
        <w:rPr>
          <w:rFonts w:ascii="仿宋_GB2312" w:eastAsia="仿宋_GB2312"/>
          <w:sz w:val="30"/>
          <w:szCs w:val="30"/>
        </w:rPr>
      </w:pPr>
    </w:p>
    <w:sectPr w:rsidR="0057090A" w:rsidSect="0057090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81" w:rsidRDefault="009D3E81" w:rsidP="004F51C6">
      <w:r>
        <w:separator/>
      </w:r>
    </w:p>
  </w:endnote>
  <w:endnote w:type="continuationSeparator" w:id="0">
    <w:p w:rsidR="009D3E81" w:rsidRDefault="009D3E81" w:rsidP="004F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514"/>
      <w:docPartObj>
        <w:docPartGallery w:val="Page Numbers (Bottom of Page)"/>
        <w:docPartUnique/>
      </w:docPartObj>
    </w:sdtPr>
    <w:sdtContent>
      <w:p w:rsidR="004F51C6" w:rsidRDefault="0095365F">
        <w:pPr>
          <w:pStyle w:val="a3"/>
          <w:jc w:val="center"/>
        </w:pPr>
        <w:fldSimple w:instr=" PAGE   \* MERGEFORMAT ">
          <w:r w:rsidR="003445CE" w:rsidRPr="003445CE">
            <w:rPr>
              <w:noProof/>
              <w:lang w:val="zh-CN"/>
            </w:rPr>
            <w:t>5</w:t>
          </w:r>
        </w:fldSimple>
      </w:p>
    </w:sdtContent>
  </w:sdt>
  <w:p w:rsidR="004F51C6" w:rsidRDefault="004F51C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81" w:rsidRDefault="009D3E81" w:rsidP="004F51C6">
      <w:r>
        <w:separator/>
      </w:r>
    </w:p>
  </w:footnote>
  <w:footnote w:type="continuationSeparator" w:id="0">
    <w:p w:rsidR="009D3E81" w:rsidRDefault="009D3E81" w:rsidP="004F51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0A"/>
    <w:rsid w:val="003369EC"/>
    <w:rsid w:val="003445CE"/>
    <w:rsid w:val="004F51C6"/>
    <w:rsid w:val="0057090A"/>
    <w:rsid w:val="0095365F"/>
    <w:rsid w:val="009D3E81"/>
    <w:rsid w:val="00A07D95"/>
    <w:rsid w:val="00DC79F5"/>
    <w:rsid w:val="00F3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 w:qFormat="1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09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09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570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sid w:val="005709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090A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7090A"/>
    <w:pPr>
      <w:ind w:firstLineChars="200" w:firstLine="420"/>
    </w:pPr>
  </w:style>
  <w:style w:type="paragraph" w:styleId="a6">
    <w:name w:val="No Spacing"/>
    <w:link w:val="Char1"/>
    <w:uiPriority w:val="1"/>
    <w:qFormat/>
    <w:rsid w:val="004F51C6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6"/>
    <w:uiPriority w:val="1"/>
    <w:rsid w:val="004F51C6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Char2"/>
    <w:uiPriority w:val="99"/>
    <w:semiHidden/>
    <w:unhideWhenUsed/>
    <w:rsid w:val="004F51C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4F51C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500</Words>
  <Characters>2856</Characters>
  <Application>Microsoft Office Word</Application>
  <DocSecurity>0</DocSecurity>
  <Lines>23</Lines>
  <Paragraphs>6</Paragraphs>
  <ScaleCrop>false</ScaleCrop>
  <Company>Sky123.Org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10</cp:revision>
  <cp:lastPrinted>2017-11-13T00:42:00Z</cp:lastPrinted>
  <dcterms:created xsi:type="dcterms:W3CDTF">2017-11-08T10:33:00Z</dcterms:created>
  <dcterms:modified xsi:type="dcterms:W3CDTF">2017-11-14T08:31:00Z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2052-8.0.0</vt:lpwstr>
  </property>
</Properties>
</file>